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650D" w14:textId="77777777" w:rsidR="004563E4" w:rsidRDefault="004563E4" w:rsidP="004563E4">
      <w:pPr>
        <w:spacing w:after="120" w:line="240" w:lineRule="auto"/>
        <w:rPr>
          <w:rFonts w:ascii="Exo 2.0" w:hAnsi="Exo 2.0" w:cs="Times New Roman"/>
          <w:b/>
          <w:sz w:val="24"/>
        </w:rPr>
      </w:pPr>
      <w:r w:rsidRPr="003C6379">
        <w:rPr>
          <w:rFonts w:ascii="Exo 2.0" w:hAnsi="Exo 2.0" w:cs="Times New Roman"/>
          <w:b/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 wp14:anchorId="476DC3CB" wp14:editId="58FD2F3E">
            <wp:simplePos x="0" y="0"/>
            <wp:positionH relativeFrom="margin">
              <wp:posOffset>3196590</wp:posOffset>
            </wp:positionH>
            <wp:positionV relativeFrom="margin">
              <wp:posOffset>-238125</wp:posOffset>
            </wp:positionV>
            <wp:extent cx="2952750" cy="10737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e kolor_transparentne_png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xo 2.0" w:hAnsi="Exo 2.0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40A37F7" wp14:editId="1711BB6D">
            <wp:simplePos x="0" y="0"/>
            <wp:positionH relativeFrom="margin">
              <wp:posOffset>-591820</wp:posOffset>
            </wp:positionH>
            <wp:positionV relativeFrom="margin">
              <wp:posOffset>-57150</wp:posOffset>
            </wp:positionV>
            <wp:extent cx="3678555" cy="6756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_Lukasiewic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46B94" w14:textId="77777777" w:rsidR="004563E4" w:rsidRDefault="004563E4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</w:p>
    <w:p w14:paraId="75DFEE05" w14:textId="77777777" w:rsidR="009F3D3C" w:rsidRPr="00BB1380" w:rsidRDefault="00420E69" w:rsidP="008E619F">
      <w:pPr>
        <w:spacing w:after="120" w:line="240" w:lineRule="auto"/>
        <w:jc w:val="center"/>
        <w:rPr>
          <w:rFonts w:cs="Times New Roman"/>
          <w:b/>
          <w:sz w:val="24"/>
        </w:rPr>
      </w:pPr>
      <w:r w:rsidRPr="00BB1380">
        <w:rPr>
          <w:rFonts w:cs="Times New Roman"/>
          <w:b/>
          <w:sz w:val="24"/>
        </w:rPr>
        <w:t>I</w:t>
      </w:r>
      <w:r w:rsidR="00356757" w:rsidRPr="00BB1380">
        <w:rPr>
          <w:rFonts w:cs="Times New Roman"/>
          <w:b/>
          <w:sz w:val="24"/>
        </w:rPr>
        <w:t>II</w:t>
      </w:r>
      <w:r w:rsidR="00135ED3" w:rsidRPr="00BB1380">
        <w:rPr>
          <w:rFonts w:cs="Times New Roman"/>
          <w:b/>
          <w:sz w:val="24"/>
        </w:rPr>
        <w:t xml:space="preserve"> Ogólnopolska Konferencja Naukowa</w:t>
      </w:r>
    </w:p>
    <w:p w14:paraId="2ABB2D2E" w14:textId="77777777" w:rsidR="00E324AE" w:rsidRPr="00BB1380" w:rsidRDefault="00356757" w:rsidP="00356757">
      <w:pPr>
        <w:spacing w:after="0" w:line="240" w:lineRule="auto"/>
        <w:jc w:val="center"/>
        <w:rPr>
          <w:rFonts w:cs="Times New Roman"/>
          <w:sz w:val="24"/>
        </w:rPr>
      </w:pPr>
      <w:r w:rsidRPr="00BB1380">
        <w:rPr>
          <w:rFonts w:cs="Times New Roman"/>
          <w:b/>
          <w:i/>
          <w:color w:val="008A35"/>
          <w:sz w:val="28"/>
        </w:rPr>
        <w:t>Innowacyjne Oblicza Przemysłu Włókienniczego</w:t>
      </w:r>
    </w:p>
    <w:p w14:paraId="69C0FED2" w14:textId="77777777" w:rsidR="004563E4" w:rsidRPr="00BB1380" w:rsidRDefault="004563E4" w:rsidP="00583B4C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2BFCB893" w14:textId="5D41716F" w:rsidR="0038558B" w:rsidRPr="00BB1380" w:rsidRDefault="003C6379" w:rsidP="00583B4C">
      <w:pPr>
        <w:spacing w:after="0" w:line="240" w:lineRule="auto"/>
        <w:jc w:val="center"/>
        <w:rPr>
          <w:rFonts w:cs="Times New Roman"/>
          <w:b/>
          <w:sz w:val="24"/>
        </w:rPr>
      </w:pPr>
      <w:r w:rsidRPr="00BB1380">
        <w:rPr>
          <w:rFonts w:cs="Times New Roman"/>
          <w:b/>
          <w:sz w:val="24"/>
        </w:rPr>
        <w:t xml:space="preserve">- </w:t>
      </w:r>
      <w:r w:rsidR="00420E69" w:rsidRPr="00BB1380">
        <w:rPr>
          <w:rFonts w:cs="Times New Roman"/>
          <w:b/>
          <w:sz w:val="24"/>
        </w:rPr>
        <w:t>05</w:t>
      </w:r>
      <w:r w:rsidR="00815ACA" w:rsidRPr="00BB1380">
        <w:rPr>
          <w:rFonts w:cs="Times New Roman"/>
          <w:b/>
          <w:sz w:val="24"/>
        </w:rPr>
        <w:t xml:space="preserve"> </w:t>
      </w:r>
      <w:r w:rsidR="00356757" w:rsidRPr="00BB1380">
        <w:rPr>
          <w:rFonts w:cs="Times New Roman"/>
          <w:b/>
          <w:sz w:val="24"/>
        </w:rPr>
        <w:t>grudnia</w:t>
      </w:r>
      <w:r w:rsidR="00815ACA" w:rsidRPr="00BB1380">
        <w:rPr>
          <w:rFonts w:cs="Times New Roman"/>
          <w:b/>
          <w:sz w:val="24"/>
        </w:rPr>
        <w:t xml:space="preserve"> </w:t>
      </w:r>
      <w:r w:rsidR="006F4BF1" w:rsidRPr="00BB1380">
        <w:rPr>
          <w:rFonts w:cs="Times New Roman"/>
          <w:b/>
          <w:sz w:val="24"/>
        </w:rPr>
        <w:t>201</w:t>
      </w:r>
      <w:r w:rsidR="00732E4B" w:rsidRPr="00BB1380">
        <w:rPr>
          <w:rFonts w:cs="Times New Roman"/>
          <w:b/>
          <w:sz w:val="24"/>
        </w:rPr>
        <w:t>9</w:t>
      </w:r>
      <w:r w:rsidRPr="00BB1380">
        <w:rPr>
          <w:rFonts w:cs="Times New Roman"/>
          <w:b/>
          <w:sz w:val="24"/>
        </w:rPr>
        <w:t xml:space="preserve"> -</w:t>
      </w:r>
    </w:p>
    <w:p w14:paraId="1941A3AA" w14:textId="77777777" w:rsidR="00620147" w:rsidRPr="00BB1380" w:rsidRDefault="00620147" w:rsidP="005C730B">
      <w:pPr>
        <w:spacing w:after="120" w:line="240" w:lineRule="auto"/>
        <w:jc w:val="both"/>
        <w:rPr>
          <w:rFonts w:cs="Times New Roman"/>
        </w:rPr>
      </w:pPr>
    </w:p>
    <w:p w14:paraId="06307672" w14:textId="75D0B2D3" w:rsidR="00A8289A" w:rsidRPr="00BB1380" w:rsidRDefault="000644E0" w:rsidP="007E62C6">
      <w:pPr>
        <w:ind w:left="-567" w:right="-567"/>
        <w:jc w:val="both"/>
        <w:rPr>
          <w:rFonts w:cs="Times New Roman"/>
        </w:rPr>
      </w:pPr>
      <w:r w:rsidRPr="00BB1380">
        <w:rPr>
          <w:rFonts w:cs="Times New Roman"/>
        </w:rPr>
        <w:t>C</w:t>
      </w:r>
      <w:r w:rsidR="00A8289A" w:rsidRPr="00BB1380">
        <w:rPr>
          <w:rFonts w:cs="Times New Roman"/>
        </w:rPr>
        <w:t>elem konferencji jest przybliżenie wiedzy oraz wymiana doświadczeń</w:t>
      </w:r>
      <w:r w:rsidR="00C32656" w:rsidRPr="00BB1380">
        <w:rPr>
          <w:rFonts w:cs="Times New Roman"/>
        </w:rPr>
        <w:t xml:space="preserve"> naukowych w </w:t>
      </w:r>
      <w:r w:rsidR="00A8289A" w:rsidRPr="00BB1380">
        <w:rPr>
          <w:rFonts w:cs="Times New Roman"/>
        </w:rPr>
        <w:t>zakresie</w:t>
      </w:r>
      <w:r w:rsidR="00AA09D8" w:rsidRPr="00BB1380">
        <w:rPr>
          <w:rFonts w:cs="Times New Roman"/>
        </w:rPr>
        <w:t xml:space="preserve"> </w:t>
      </w:r>
      <w:r w:rsidR="007E62C6" w:rsidRPr="00BB1380">
        <w:rPr>
          <w:rFonts w:cs="Times New Roman"/>
        </w:rPr>
        <w:t xml:space="preserve">innowacyjnego włókiennictwa, </w:t>
      </w:r>
      <w:r w:rsidR="00A8289A" w:rsidRPr="00BB1380">
        <w:rPr>
          <w:rFonts w:cs="Times New Roman"/>
        </w:rPr>
        <w:t xml:space="preserve">w szczególności </w:t>
      </w:r>
      <w:r w:rsidR="007E62C6" w:rsidRPr="00BB1380">
        <w:rPr>
          <w:rFonts w:cs="Times New Roman"/>
        </w:rPr>
        <w:t>zastosowanie włókien i materiałów włóknistych w przemyśle</w:t>
      </w:r>
      <w:r w:rsidR="00A8289A" w:rsidRPr="00BB1380">
        <w:rPr>
          <w:rFonts w:cs="Times New Roman"/>
        </w:rPr>
        <w:t>,</w:t>
      </w:r>
      <w:r w:rsidR="007E62C6" w:rsidRPr="00BB1380">
        <w:rPr>
          <w:rFonts w:cs="Times New Roman"/>
        </w:rPr>
        <w:t xml:space="preserve"> a także wykorzystanie polimerów w gospodarce cyrkularnej</w:t>
      </w:r>
      <w:r w:rsidR="005A018D" w:rsidRPr="00BB1380">
        <w:rPr>
          <w:rFonts w:cs="Times New Roman"/>
        </w:rPr>
        <w:t xml:space="preserve"> oraz </w:t>
      </w:r>
      <w:r w:rsidR="007E62C6" w:rsidRPr="00BB1380">
        <w:rPr>
          <w:rFonts w:cs="Times New Roman"/>
        </w:rPr>
        <w:t xml:space="preserve">ich wpływ na środowisko. </w:t>
      </w:r>
      <w:r w:rsidR="00A8289A" w:rsidRPr="00BB1380">
        <w:rPr>
          <w:rFonts w:cs="Times New Roman"/>
          <w:color w:val="000000" w:themeColor="text1"/>
        </w:rPr>
        <w:t>Konferencja</w:t>
      </w:r>
      <w:r w:rsidR="00A8289A" w:rsidRPr="00BB1380">
        <w:rPr>
          <w:rFonts w:cs="Times New Roman"/>
        </w:rPr>
        <w:t xml:space="preserve"> adresowana </w:t>
      </w:r>
      <w:r w:rsidR="00A8289A" w:rsidRPr="00BB1380">
        <w:rPr>
          <w:rFonts w:cs="Times New Roman"/>
          <w:color w:val="000000" w:themeColor="text1"/>
        </w:rPr>
        <w:t>jest</w:t>
      </w:r>
      <w:r w:rsidR="00A8289A" w:rsidRPr="00BB1380">
        <w:rPr>
          <w:rFonts w:cs="Times New Roman"/>
        </w:rPr>
        <w:t xml:space="preserve"> </w:t>
      </w:r>
      <w:r w:rsidRPr="00BB1380">
        <w:rPr>
          <w:rFonts w:cs="Times New Roman"/>
        </w:rPr>
        <w:t xml:space="preserve">do przedstawicieli świata nauki, </w:t>
      </w:r>
      <w:r w:rsidR="00A8289A" w:rsidRPr="00BB1380">
        <w:rPr>
          <w:rFonts w:cs="Times New Roman"/>
          <w:color w:val="000000" w:themeColor="text1"/>
        </w:rPr>
        <w:t>do doświadczonych pracowników naukowych, a także do studentów, doktorantów oraz d</w:t>
      </w:r>
      <w:r w:rsidR="00C32656" w:rsidRPr="00BB1380">
        <w:rPr>
          <w:rFonts w:cs="Times New Roman"/>
          <w:color w:val="000000" w:themeColor="text1"/>
        </w:rPr>
        <w:t xml:space="preserve">o osób działających w zakresie </w:t>
      </w:r>
      <w:r w:rsidR="00A8289A" w:rsidRPr="00BB1380">
        <w:rPr>
          <w:rFonts w:cs="Times New Roman"/>
          <w:color w:val="000000" w:themeColor="text1"/>
        </w:rPr>
        <w:t xml:space="preserve">praktyki gospodarczej. </w:t>
      </w:r>
    </w:p>
    <w:p w14:paraId="0C3CA40C" w14:textId="77777777" w:rsidR="00A8289A" w:rsidRPr="00BB1380" w:rsidRDefault="00A8289A" w:rsidP="0065768A">
      <w:pPr>
        <w:spacing w:after="0" w:line="276" w:lineRule="auto"/>
        <w:ind w:left="-567" w:right="-567"/>
        <w:jc w:val="both"/>
        <w:rPr>
          <w:rFonts w:cs="Times New Roman"/>
          <w:color w:val="000000" w:themeColor="text1"/>
        </w:rPr>
      </w:pPr>
      <w:r w:rsidRPr="00BB1380">
        <w:rPr>
          <w:rFonts w:cs="Times New Roman"/>
          <w:color w:val="000000" w:themeColor="text1"/>
        </w:rPr>
        <w:t xml:space="preserve">W programie konferencji przewidziane są referaty plenarne, sesja naukowa i </w:t>
      </w:r>
      <w:proofErr w:type="spellStart"/>
      <w:r w:rsidRPr="00BB1380">
        <w:rPr>
          <w:rFonts w:cs="Times New Roman"/>
          <w:color w:val="000000" w:themeColor="text1"/>
        </w:rPr>
        <w:t>posterowa</w:t>
      </w:r>
      <w:proofErr w:type="spellEnd"/>
      <w:r w:rsidRPr="00BB1380">
        <w:rPr>
          <w:rFonts w:cs="Times New Roman"/>
          <w:color w:val="000000" w:themeColor="text1"/>
        </w:rPr>
        <w:t xml:space="preserve"> oraz sesja przeznacz</w:t>
      </w:r>
      <w:r w:rsidR="00C32656" w:rsidRPr="00BB1380">
        <w:rPr>
          <w:rFonts w:cs="Times New Roman"/>
          <w:color w:val="000000" w:themeColor="text1"/>
        </w:rPr>
        <w:t xml:space="preserve">ona dla młodych naukowców i </w:t>
      </w:r>
      <w:r w:rsidRPr="00BB1380">
        <w:rPr>
          <w:rFonts w:cs="Times New Roman"/>
          <w:color w:val="000000" w:themeColor="text1"/>
        </w:rPr>
        <w:t xml:space="preserve">doktorantów. </w:t>
      </w:r>
    </w:p>
    <w:p w14:paraId="0D6E0F6B" w14:textId="77777777" w:rsidR="00A8289A" w:rsidRPr="00BB1380" w:rsidRDefault="00A8289A" w:rsidP="005C730B">
      <w:pPr>
        <w:spacing w:after="120" w:line="240" w:lineRule="auto"/>
        <w:jc w:val="both"/>
        <w:rPr>
          <w:rFonts w:cs="Times New Roman"/>
        </w:rPr>
      </w:pPr>
    </w:p>
    <w:p w14:paraId="5252320B" w14:textId="77777777" w:rsidR="00A8289A" w:rsidRPr="00BB1380" w:rsidRDefault="00C04CD7" w:rsidP="003B18A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008A35"/>
        </w:rPr>
      </w:pPr>
      <w:r w:rsidRPr="00BB1380">
        <w:rPr>
          <w:rFonts w:cs="Times New Roman"/>
          <w:b/>
          <w:color w:val="008A35"/>
        </w:rPr>
        <w:t>Tematyka konferencji obejmuje poniższe zagadnienia:</w:t>
      </w:r>
    </w:p>
    <w:p w14:paraId="3656B659" w14:textId="77777777" w:rsidR="002B6B9F" w:rsidRPr="00BB1380" w:rsidRDefault="002B6B9F" w:rsidP="002B6B9F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Zastosowanie włókien i materiałów włóknistych:</w:t>
      </w:r>
    </w:p>
    <w:p w14:paraId="379E52D1" w14:textId="77777777" w:rsidR="002B6B9F" w:rsidRPr="00BB1380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>włókna w medycynie</w:t>
      </w:r>
    </w:p>
    <w:p w14:paraId="4FDBF7A3" w14:textId="77777777" w:rsidR="002B6B9F" w:rsidRPr="00BB1380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>włókna w rolnictwie i tekstyliach</w:t>
      </w:r>
    </w:p>
    <w:p w14:paraId="44B80EA4" w14:textId="77777777" w:rsidR="002B6B9F" w:rsidRPr="00BB1380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>biomateriały</w:t>
      </w:r>
    </w:p>
    <w:p w14:paraId="64168F07" w14:textId="77777777" w:rsidR="002B6B9F" w:rsidRPr="00BB1380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>nanomateriały i ich wykorzystanie</w:t>
      </w:r>
    </w:p>
    <w:p w14:paraId="5079FD7F" w14:textId="77777777" w:rsidR="002B6B9F" w:rsidRPr="00BB1380" w:rsidRDefault="002B6B9F" w:rsidP="003B18A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 xml:space="preserve">wyroby artystyczne z włókien </w:t>
      </w:r>
    </w:p>
    <w:p w14:paraId="72FED7F0" w14:textId="77777777" w:rsidR="002B6B9F" w:rsidRPr="00BB1380" w:rsidRDefault="002B6B9F" w:rsidP="002B6B9F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Polimery a  środowisko:</w:t>
      </w:r>
    </w:p>
    <w:p w14:paraId="35AEF41F" w14:textId="77777777" w:rsidR="002B6B9F" w:rsidRPr="00BB1380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polimery na bazie surowców odnawialnych</w:t>
      </w:r>
    </w:p>
    <w:p w14:paraId="13D80C53" w14:textId="77777777" w:rsidR="002B6B9F" w:rsidRPr="00BB1380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nowe materiały polimerowe</w:t>
      </w:r>
    </w:p>
    <w:p w14:paraId="625D956E" w14:textId="769FDFF2" w:rsidR="00EB4E1E" w:rsidRPr="00BB1380" w:rsidRDefault="00EB4E1E" w:rsidP="00EB4E1E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</w:rPr>
        <w:t>materiały celu</w:t>
      </w:r>
      <w:r w:rsidR="00AA09D8" w:rsidRPr="00BB1380">
        <w:rPr>
          <w:rFonts w:cs="Times New Roman"/>
        </w:rPr>
        <w:t>lo</w:t>
      </w:r>
      <w:r w:rsidRPr="00BB1380">
        <w:rPr>
          <w:rFonts w:cs="Times New Roman"/>
        </w:rPr>
        <w:t>zowo-papiernicze</w:t>
      </w:r>
    </w:p>
    <w:p w14:paraId="3B3A8F87" w14:textId="77777777" w:rsidR="002B6B9F" w:rsidRPr="00BB1380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polimery biodegradowalne</w:t>
      </w:r>
    </w:p>
    <w:p w14:paraId="50A0FD77" w14:textId="77777777" w:rsidR="002B6B9F" w:rsidRPr="00BB1380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recykling materiałów polimerowych</w:t>
      </w:r>
    </w:p>
    <w:p w14:paraId="4B28ACC0" w14:textId="77777777" w:rsidR="003B18A2" w:rsidRPr="00BB1380" w:rsidRDefault="007E62C6" w:rsidP="003B18A2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Aspekty ekonomiczne</w:t>
      </w:r>
    </w:p>
    <w:p w14:paraId="72781884" w14:textId="77777777" w:rsidR="00A851FF" w:rsidRPr="00BB1380" w:rsidRDefault="002B6B9F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g</w:t>
      </w:r>
      <w:r w:rsidR="007E62C6" w:rsidRPr="00BB1380">
        <w:rPr>
          <w:rFonts w:cs="Times New Roman"/>
        </w:rPr>
        <w:t>ospodarka cyrkularna</w:t>
      </w:r>
    </w:p>
    <w:p w14:paraId="045166D5" w14:textId="77777777" w:rsidR="00BD57B4" w:rsidRPr="00BB1380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</w:rPr>
      </w:pPr>
      <w:proofErr w:type="spellStart"/>
      <w:r w:rsidRPr="00BB1380">
        <w:rPr>
          <w:rFonts w:cs="Times New Roman"/>
        </w:rPr>
        <w:t>biogospodarka</w:t>
      </w:r>
      <w:proofErr w:type="spellEnd"/>
    </w:p>
    <w:p w14:paraId="41E2BBFE" w14:textId="77777777" w:rsidR="001033A2" w:rsidRPr="00BB1380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innowacje przyjazne środowisku</w:t>
      </w:r>
    </w:p>
    <w:p w14:paraId="3252C51C" w14:textId="77777777" w:rsidR="001033A2" w:rsidRPr="00BB1380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zagospodarowanie odpadów</w:t>
      </w:r>
    </w:p>
    <w:p w14:paraId="2C6081BD" w14:textId="77777777" w:rsidR="002B6B9F" w:rsidRPr="00BB1380" w:rsidRDefault="002B6B9F" w:rsidP="00FB1131">
      <w:pPr>
        <w:spacing w:after="120" w:line="240" w:lineRule="auto"/>
        <w:jc w:val="both"/>
        <w:rPr>
          <w:rFonts w:cs="Times New Roman"/>
          <w:b/>
        </w:rPr>
      </w:pPr>
    </w:p>
    <w:p w14:paraId="0D5DFCD7" w14:textId="77777777" w:rsidR="00554815" w:rsidRPr="00BB1380" w:rsidRDefault="007A03EE" w:rsidP="00FB1131">
      <w:pPr>
        <w:spacing w:after="120" w:line="240" w:lineRule="auto"/>
        <w:jc w:val="both"/>
        <w:rPr>
          <w:rFonts w:cs="Times New Roman"/>
          <w:b/>
        </w:rPr>
      </w:pPr>
      <w:r w:rsidRPr="00BB1380">
        <w:rPr>
          <w:rFonts w:cs="Times New Roman"/>
          <w:b/>
        </w:rPr>
        <w:t>Język konferencji: polski</w:t>
      </w:r>
    </w:p>
    <w:p w14:paraId="69B97B07" w14:textId="77777777" w:rsidR="00A8289A" w:rsidRPr="00BB1380" w:rsidRDefault="00A8289A" w:rsidP="00A8289A">
      <w:pPr>
        <w:spacing w:after="120" w:line="240" w:lineRule="auto"/>
        <w:jc w:val="both"/>
        <w:rPr>
          <w:rFonts w:cs="Times New Roman"/>
          <w:b/>
        </w:rPr>
      </w:pPr>
    </w:p>
    <w:p w14:paraId="0BB19ADB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378E78D5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6FBE62D6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75E29550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10871BB8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2A3F2CD9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54A853DA" w14:textId="77777777" w:rsidR="00A8289A" w:rsidRPr="00BB1380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008A35"/>
        </w:rPr>
      </w:pPr>
      <w:r w:rsidRPr="00BB1380">
        <w:rPr>
          <w:rFonts w:cs="Times New Roman"/>
          <w:b/>
          <w:color w:val="008A35"/>
        </w:rPr>
        <w:t>Publikacja w języku angielskim</w:t>
      </w:r>
    </w:p>
    <w:p w14:paraId="58A5B5EC" w14:textId="77777777" w:rsidR="003C6379" w:rsidRPr="00BB1380" w:rsidRDefault="00A8289A" w:rsidP="004563E4">
      <w:pPr>
        <w:spacing w:after="120" w:line="240" w:lineRule="auto"/>
        <w:ind w:left="-284" w:right="-426"/>
        <w:jc w:val="both"/>
        <w:rPr>
          <w:rFonts w:cs="Times New Roman"/>
        </w:rPr>
      </w:pPr>
      <w:r w:rsidRPr="00BB1380">
        <w:rPr>
          <w:rFonts w:cs="Times New Roman"/>
        </w:rPr>
        <w:t>Po wniesieniu dodatkowej opłaty według cennika danego czasopisma, pod warunkiem spełnienia wymogów wydawniczych oraz otrzymania pozytywnych recenzji, artykuły zgodne z profilem tematycznym czasopisma, będą publikowane w ramach szybkiej ścieżki w:</w:t>
      </w:r>
    </w:p>
    <w:p w14:paraId="684115DE" w14:textId="77777777" w:rsidR="004563E4" w:rsidRPr="00BB1380" w:rsidRDefault="004563E4" w:rsidP="004563E4">
      <w:pPr>
        <w:spacing w:after="120" w:line="240" w:lineRule="auto"/>
        <w:ind w:left="-284" w:right="-426"/>
        <w:jc w:val="both"/>
        <w:rPr>
          <w:rFonts w:cs="Times New Roman"/>
        </w:rPr>
      </w:pPr>
    </w:p>
    <w:p w14:paraId="23F0DE83" w14:textId="77777777" w:rsidR="00A8289A" w:rsidRPr="00BB1380" w:rsidRDefault="00A8289A" w:rsidP="00A8289A">
      <w:pPr>
        <w:pStyle w:val="Akapitzlist"/>
        <w:numPr>
          <w:ilvl w:val="0"/>
          <w:numId w:val="23"/>
        </w:numPr>
        <w:spacing w:after="120" w:line="240" w:lineRule="auto"/>
        <w:ind w:left="0" w:right="-426"/>
        <w:jc w:val="both"/>
        <w:rPr>
          <w:rFonts w:cs="Times New Roman"/>
        </w:rPr>
      </w:pPr>
      <w:proofErr w:type="spellStart"/>
      <w:r w:rsidRPr="00BB1380">
        <w:rPr>
          <w:rFonts w:cs="Times New Roman"/>
          <w:lang w:val="en-US"/>
        </w:rPr>
        <w:t>Fibres</w:t>
      </w:r>
      <w:proofErr w:type="spellEnd"/>
      <w:r w:rsidRPr="00BB1380">
        <w:rPr>
          <w:rFonts w:cs="Times New Roman"/>
          <w:lang w:val="en-US"/>
        </w:rPr>
        <w:t xml:space="preserve"> &amp; Textiles in Eastern Europe </w:t>
      </w:r>
      <w:r w:rsidR="004563E4" w:rsidRPr="00BB1380">
        <w:rPr>
          <w:rFonts w:cs="Times New Roman"/>
          <w:b/>
          <w:lang w:val="en-US"/>
        </w:rPr>
        <w:t>(4</w:t>
      </w:r>
      <w:r w:rsidRPr="00BB1380">
        <w:rPr>
          <w:rFonts w:cs="Times New Roman"/>
          <w:b/>
          <w:lang w:val="en-US"/>
        </w:rPr>
        <w:t xml:space="preserve">0 pkt. </w:t>
      </w:r>
      <w:proofErr w:type="spellStart"/>
      <w:r w:rsidRPr="00BB1380">
        <w:rPr>
          <w:rFonts w:cs="Times New Roman"/>
          <w:b/>
        </w:rPr>
        <w:t>MNiSW</w:t>
      </w:r>
      <w:proofErr w:type="spellEnd"/>
      <w:r w:rsidRPr="00BB1380">
        <w:rPr>
          <w:rFonts w:cs="Times New Roman"/>
          <w:b/>
        </w:rPr>
        <w:t>)</w:t>
      </w:r>
    </w:p>
    <w:p w14:paraId="732839A9" w14:textId="4DC45A34" w:rsidR="0067191A" w:rsidRPr="00BB1380" w:rsidRDefault="00A8289A" w:rsidP="00BB1380">
      <w:pPr>
        <w:pStyle w:val="Akapitzlist"/>
        <w:spacing w:after="120" w:line="240" w:lineRule="auto"/>
        <w:ind w:left="0" w:right="-426"/>
        <w:jc w:val="both"/>
        <w:rPr>
          <w:rFonts w:cs="Times New Roman"/>
        </w:rPr>
      </w:pPr>
      <w:r w:rsidRPr="00BB1380">
        <w:rPr>
          <w:rFonts w:cs="Times New Roman"/>
        </w:rPr>
        <w:t xml:space="preserve">Szczegółowe informacje dla autorów: </w:t>
      </w:r>
      <w:hyperlink r:id="rId10" w:history="1">
        <w:r w:rsidRPr="00BB1380">
          <w:rPr>
            <w:rStyle w:val="Hipercze"/>
            <w:rFonts w:cs="Times New Roman"/>
          </w:rPr>
          <w:t>www.fibtex.lodz.pl/</w:t>
        </w:r>
      </w:hyperlink>
    </w:p>
    <w:p w14:paraId="6938FABC" w14:textId="77777777" w:rsidR="0067191A" w:rsidRPr="00BB1380" w:rsidRDefault="0067191A" w:rsidP="0065768A">
      <w:pPr>
        <w:pStyle w:val="Akapitzlist"/>
        <w:spacing w:after="120" w:line="240" w:lineRule="auto"/>
        <w:jc w:val="both"/>
        <w:rPr>
          <w:rFonts w:cs="Times New Roman"/>
          <w:b/>
          <w:color w:val="002E8A"/>
        </w:rPr>
      </w:pPr>
    </w:p>
    <w:p w14:paraId="49F7DF54" w14:textId="77777777" w:rsidR="00A8289A" w:rsidRPr="00BB1380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008A35"/>
        </w:rPr>
      </w:pPr>
      <w:r w:rsidRPr="00BB1380">
        <w:rPr>
          <w:rFonts w:cs="Times New Roman"/>
          <w:b/>
          <w:color w:val="008A35"/>
        </w:rPr>
        <w:t>Harmonogram i koszt udziału w konferencji</w:t>
      </w:r>
    </w:p>
    <w:p w14:paraId="453F7BF9" w14:textId="77777777" w:rsidR="0065768A" w:rsidRPr="00BB1380" w:rsidRDefault="0065768A" w:rsidP="00A8289A">
      <w:pPr>
        <w:spacing w:after="120" w:line="240" w:lineRule="auto"/>
        <w:ind w:left="-284" w:right="-426"/>
        <w:jc w:val="both"/>
        <w:rPr>
          <w:rFonts w:cs="Times New Roman"/>
        </w:rPr>
      </w:pPr>
    </w:p>
    <w:p w14:paraId="2F83CCDC" w14:textId="0AD74FBA" w:rsidR="00A8289A" w:rsidRPr="00BB1380" w:rsidRDefault="00A8289A" w:rsidP="00A8289A">
      <w:pPr>
        <w:spacing w:after="120" w:line="240" w:lineRule="auto"/>
        <w:ind w:left="-284" w:right="-426"/>
        <w:jc w:val="both"/>
        <w:rPr>
          <w:rFonts w:cs="Times New Roman"/>
        </w:rPr>
      </w:pPr>
      <w:r w:rsidRPr="00BB1380">
        <w:rPr>
          <w:rFonts w:cs="Times New Roman"/>
        </w:rPr>
        <w:t xml:space="preserve">Prosimy o przesyłanie formularza zgłoszeniowego wraz z tytułem referatu, abstraktem i słowami kluczowymi (język polski i angielski) na adres e-mail: </w:t>
      </w:r>
      <w:r w:rsidR="00C51850" w:rsidRPr="00BB1380">
        <w:rPr>
          <w:rFonts w:cs="Times New Roman"/>
        </w:rPr>
        <w:t>k.druzdz</w:t>
      </w:r>
      <w:r w:rsidRPr="00BB1380">
        <w:rPr>
          <w:rFonts w:cs="Times New Roman"/>
        </w:rPr>
        <w:t>@ibwch.lodz.pl</w:t>
      </w:r>
    </w:p>
    <w:p w14:paraId="6E56DFBF" w14:textId="77777777" w:rsidR="00A8289A" w:rsidRPr="00BB1380" w:rsidRDefault="00A8289A" w:rsidP="00A8289A">
      <w:pPr>
        <w:spacing w:after="120" w:line="240" w:lineRule="auto"/>
        <w:jc w:val="center"/>
        <w:rPr>
          <w:rFonts w:cs="Times New Roman"/>
        </w:rPr>
      </w:pPr>
    </w:p>
    <w:p w14:paraId="15D29BB3" w14:textId="77777777" w:rsidR="00A8289A" w:rsidRPr="00BB1380" w:rsidRDefault="00A8289A" w:rsidP="00A8289A">
      <w:pPr>
        <w:spacing w:after="120" w:line="240" w:lineRule="auto"/>
        <w:jc w:val="center"/>
        <w:rPr>
          <w:rFonts w:cs="Times New Roman"/>
        </w:rPr>
      </w:pPr>
      <w:r w:rsidRPr="00BB1380">
        <w:rPr>
          <w:rFonts w:cs="Times New Roman"/>
        </w:rPr>
        <w:t>Opłatę konferencyjną prosimy przesyłać na poniższy rachunek bankowy:</w:t>
      </w:r>
    </w:p>
    <w:p w14:paraId="4BABD880" w14:textId="77777777" w:rsidR="00A8289A" w:rsidRPr="00BB1380" w:rsidRDefault="00A8289A" w:rsidP="00A8289A">
      <w:pPr>
        <w:spacing w:after="120" w:line="240" w:lineRule="auto"/>
        <w:jc w:val="center"/>
        <w:rPr>
          <w:rFonts w:cs="Times New Roman"/>
          <w:b/>
        </w:rPr>
      </w:pPr>
      <w:r w:rsidRPr="00BB1380">
        <w:rPr>
          <w:rFonts w:cs="Times New Roman"/>
          <w:b/>
        </w:rPr>
        <w:t>PEKAO S.A. VI O/Łódź, 23 1240 3031 1111 0000 3426 6342</w:t>
      </w:r>
    </w:p>
    <w:p w14:paraId="1A9D825D" w14:textId="2A3B2528" w:rsidR="00A8289A" w:rsidRPr="00BB1380" w:rsidRDefault="00A8289A" w:rsidP="00A8289A">
      <w:pPr>
        <w:spacing w:after="120" w:line="240" w:lineRule="auto"/>
        <w:jc w:val="center"/>
        <w:rPr>
          <w:rFonts w:cs="Times New Roman"/>
        </w:rPr>
      </w:pPr>
      <w:r w:rsidRPr="00BB1380">
        <w:rPr>
          <w:rFonts w:cs="Times New Roman"/>
        </w:rPr>
        <w:t xml:space="preserve">W tytule przelewu należy wpisać: </w:t>
      </w:r>
      <w:r w:rsidR="002B6B9F" w:rsidRPr="00BB1380">
        <w:rPr>
          <w:rFonts w:cs="Times New Roman"/>
          <w:b/>
        </w:rPr>
        <w:t>IOPW</w:t>
      </w:r>
      <w:r w:rsidR="00DC72E7" w:rsidRPr="00BB1380">
        <w:rPr>
          <w:rFonts w:cs="Times New Roman"/>
          <w:b/>
        </w:rPr>
        <w:t>3</w:t>
      </w:r>
      <w:r w:rsidR="00A87525" w:rsidRPr="00BB1380">
        <w:rPr>
          <w:rFonts w:cs="Times New Roman"/>
          <w:b/>
        </w:rPr>
        <w:t xml:space="preserve"> </w:t>
      </w:r>
      <w:r w:rsidRPr="00BB1380">
        <w:rPr>
          <w:rFonts w:cs="Times New Roman"/>
          <w:b/>
        </w:rPr>
        <w:t>Imię i Nazwisko Uczestnika</w:t>
      </w:r>
    </w:p>
    <w:p w14:paraId="279EF7CA" w14:textId="77777777" w:rsidR="0065768A" w:rsidRPr="00BB1380" w:rsidRDefault="0065768A" w:rsidP="00A8289A">
      <w:pPr>
        <w:spacing w:after="120" w:line="240" w:lineRule="auto"/>
        <w:jc w:val="both"/>
        <w:rPr>
          <w:rFonts w:cs="Times New Roman"/>
          <w:b/>
        </w:rPr>
      </w:pPr>
    </w:p>
    <w:p w14:paraId="1894B73C" w14:textId="77777777" w:rsidR="00A8289A" w:rsidRPr="00BB1380" w:rsidRDefault="00A8289A" w:rsidP="00A8289A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Ważne terminy:</w:t>
      </w:r>
    </w:p>
    <w:p w14:paraId="1C462AC7" w14:textId="7D2F7235" w:rsidR="001151CB" w:rsidRPr="00BB1380" w:rsidRDefault="00566517" w:rsidP="001151CB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2B6B9F" w:rsidRPr="00BB1380">
        <w:rPr>
          <w:rFonts w:asciiTheme="minorHAnsi" w:hAnsiTheme="minorHAnsi"/>
        </w:rPr>
        <w:t xml:space="preserve"> listopada</w:t>
      </w:r>
      <w:r w:rsidR="00521E85" w:rsidRPr="00BB1380">
        <w:rPr>
          <w:rFonts w:asciiTheme="minorHAnsi" w:hAnsiTheme="minorHAnsi"/>
        </w:rPr>
        <w:t xml:space="preserve"> </w:t>
      </w:r>
      <w:r w:rsidR="001151CB" w:rsidRPr="00BB1380">
        <w:rPr>
          <w:rFonts w:asciiTheme="minorHAnsi" w:hAnsiTheme="minorHAnsi"/>
        </w:rPr>
        <w:t>- termin nadsyłania zgłoszeń</w:t>
      </w:r>
    </w:p>
    <w:p w14:paraId="4AE3CDB0" w14:textId="69893040" w:rsidR="001151CB" w:rsidRPr="00BB1380" w:rsidRDefault="00566517" w:rsidP="001151CB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bookmarkStart w:id="0" w:name="_GoBack"/>
      <w:bookmarkEnd w:id="0"/>
      <w:r w:rsidR="002B6B9F" w:rsidRPr="00BB1380">
        <w:rPr>
          <w:rFonts w:asciiTheme="minorHAnsi" w:hAnsiTheme="minorHAnsi"/>
        </w:rPr>
        <w:t xml:space="preserve"> listopada </w:t>
      </w:r>
      <w:r w:rsidR="001151CB" w:rsidRPr="00BB1380">
        <w:rPr>
          <w:rFonts w:asciiTheme="minorHAnsi" w:hAnsiTheme="minorHAnsi"/>
        </w:rPr>
        <w:t>- termin akceptacji abstraktów</w:t>
      </w:r>
    </w:p>
    <w:p w14:paraId="2056B806" w14:textId="77777777" w:rsidR="001151CB" w:rsidRPr="00BB1380" w:rsidRDefault="00420E69" w:rsidP="001151CB">
      <w:pPr>
        <w:pStyle w:val="NormalnyWeb"/>
        <w:rPr>
          <w:rFonts w:asciiTheme="minorHAnsi" w:hAnsiTheme="minorHAnsi"/>
        </w:rPr>
      </w:pPr>
      <w:r w:rsidRPr="00BB1380">
        <w:rPr>
          <w:rFonts w:asciiTheme="minorHAnsi" w:hAnsiTheme="minorHAnsi"/>
        </w:rPr>
        <w:t>25</w:t>
      </w:r>
      <w:r w:rsidR="002B6B9F" w:rsidRPr="00BB1380">
        <w:rPr>
          <w:rFonts w:asciiTheme="minorHAnsi" w:hAnsiTheme="minorHAnsi"/>
        </w:rPr>
        <w:t xml:space="preserve"> listopada </w:t>
      </w:r>
      <w:r w:rsidR="001151CB" w:rsidRPr="00BB1380">
        <w:rPr>
          <w:rFonts w:asciiTheme="minorHAnsi" w:hAnsiTheme="minorHAnsi"/>
        </w:rPr>
        <w:t>- termin wnoszenia opłaty konferencyjnej</w:t>
      </w:r>
    </w:p>
    <w:p w14:paraId="39DE84EA" w14:textId="77777777" w:rsidR="001151CB" w:rsidRPr="00BB1380" w:rsidRDefault="00420E69" w:rsidP="001151CB">
      <w:pPr>
        <w:pStyle w:val="NormalnyWeb"/>
        <w:rPr>
          <w:rFonts w:asciiTheme="minorHAnsi" w:hAnsiTheme="minorHAnsi"/>
        </w:rPr>
      </w:pPr>
      <w:r w:rsidRPr="00BB1380">
        <w:rPr>
          <w:rFonts w:asciiTheme="minorHAnsi" w:hAnsiTheme="minorHAnsi"/>
        </w:rPr>
        <w:t>29</w:t>
      </w:r>
      <w:r w:rsidR="002B6B9F" w:rsidRPr="00BB1380">
        <w:rPr>
          <w:rFonts w:asciiTheme="minorHAnsi" w:hAnsiTheme="minorHAnsi"/>
        </w:rPr>
        <w:t xml:space="preserve"> </w:t>
      </w:r>
      <w:r w:rsidRPr="00BB1380">
        <w:rPr>
          <w:rFonts w:asciiTheme="minorHAnsi" w:hAnsiTheme="minorHAnsi"/>
        </w:rPr>
        <w:t>listopada</w:t>
      </w:r>
      <w:r w:rsidR="002B6B9F" w:rsidRPr="00BB1380">
        <w:rPr>
          <w:rFonts w:asciiTheme="minorHAnsi" w:hAnsiTheme="minorHAnsi"/>
        </w:rPr>
        <w:t xml:space="preserve"> -</w:t>
      </w:r>
      <w:r w:rsidR="001151CB" w:rsidRPr="00BB1380">
        <w:rPr>
          <w:rFonts w:asciiTheme="minorHAnsi" w:hAnsiTheme="minorHAnsi"/>
        </w:rPr>
        <w:t>  termin nadsyłania pełnych tekstów artykułów</w:t>
      </w:r>
    </w:p>
    <w:p w14:paraId="289DCA78" w14:textId="1120E5E2" w:rsidR="00535F95" w:rsidRPr="00BB1380" w:rsidRDefault="00420E69" w:rsidP="008D1E0E">
      <w:pPr>
        <w:spacing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1380">
        <w:rPr>
          <w:rFonts w:eastAsia="Times New Roman" w:cs="Times New Roman"/>
          <w:sz w:val="24"/>
          <w:szCs w:val="24"/>
          <w:lang w:eastAsia="pl-PL"/>
        </w:rPr>
        <w:t>5</w:t>
      </w:r>
      <w:r w:rsidR="002B6B9F" w:rsidRPr="00BB1380">
        <w:rPr>
          <w:rFonts w:eastAsia="Times New Roman" w:cs="Times New Roman"/>
          <w:sz w:val="24"/>
          <w:szCs w:val="24"/>
          <w:lang w:eastAsia="pl-PL"/>
        </w:rPr>
        <w:t xml:space="preserve"> grudnia</w:t>
      </w:r>
      <w:r w:rsidR="00C2147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151CB" w:rsidRPr="00BB1380">
        <w:rPr>
          <w:rFonts w:eastAsia="Times New Roman" w:cs="Times New Roman"/>
          <w:sz w:val="24"/>
          <w:szCs w:val="24"/>
          <w:lang w:eastAsia="pl-PL"/>
        </w:rPr>
        <w:t>-</w:t>
      </w:r>
      <w:r w:rsidR="00C2147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B6B9F" w:rsidRPr="00BB1380">
        <w:rPr>
          <w:rFonts w:eastAsia="Times New Roman" w:cs="Times New Roman"/>
          <w:sz w:val="24"/>
          <w:szCs w:val="24"/>
          <w:lang w:eastAsia="pl-PL"/>
        </w:rPr>
        <w:t>II</w:t>
      </w:r>
      <w:r w:rsidRPr="00BB1380">
        <w:rPr>
          <w:rFonts w:eastAsia="Times New Roman" w:cs="Times New Roman"/>
          <w:sz w:val="24"/>
          <w:szCs w:val="24"/>
          <w:lang w:eastAsia="pl-PL"/>
        </w:rPr>
        <w:t>I</w:t>
      </w:r>
      <w:r w:rsidR="002B6B9F" w:rsidRPr="00BB1380">
        <w:rPr>
          <w:rFonts w:eastAsia="Times New Roman" w:cs="Times New Roman"/>
          <w:sz w:val="24"/>
          <w:szCs w:val="24"/>
          <w:lang w:eastAsia="pl-PL"/>
        </w:rPr>
        <w:t xml:space="preserve"> Ogólnopolska Konferencja Naukowa Innowacyjne Oblicza Przemysłu</w:t>
      </w:r>
      <w:r w:rsidR="008D1E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B6B9F" w:rsidRPr="00BB1380">
        <w:rPr>
          <w:rFonts w:eastAsia="Times New Roman" w:cs="Times New Roman"/>
          <w:sz w:val="24"/>
          <w:szCs w:val="24"/>
          <w:lang w:eastAsia="pl-PL"/>
        </w:rPr>
        <w:t>Włókienniczego</w:t>
      </w:r>
    </w:p>
    <w:p w14:paraId="486D1FAE" w14:textId="77777777" w:rsidR="00A3686C" w:rsidRPr="00BB1380" w:rsidRDefault="00A3686C" w:rsidP="00A8289A">
      <w:pPr>
        <w:spacing w:after="120" w:line="240" w:lineRule="auto"/>
        <w:jc w:val="both"/>
        <w:rPr>
          <w:rFonts w:cs="Times New Roman"/>
          <w:b/>
        </w:rPr>
      </w:pPr>
    </w:p>
    <w:p w14:paraId="1D6537FF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4F21E6AF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629BB87D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0B01895A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54FEF16C" w14:textId="77777777" w:rsidR="004563E4" w:rsidRPr="00BB1380" w:rsidRDefault="004563E4" w:rsidP="00A8289A">
      <w:pPr>
        <w:spacing w:after="120" w:line="240" w:lineRule="auto"/>
        <w:jc w:val="both"/>
        <w:rPr>
          <w:rFonts w:cs="Times New Roman"/>
          <w:b/>
        </w:rPr>
      </w:pPr>
    </w:p>
    <w:p w14:paraId="5380B11F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0B17D9E4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2D0EBB53" w14:textId="77777777" w:rsidR="000507B2" w:rsidRPr="00BB1380" w:rsidRDefault="000507B2" w:rsidP="00A8289A">
      <w:pPr>
        <w:spacing w:after="120" w:line="240" w:lineRule="auto"/>
        <w:jc w:val="both"/>
        <w:rPr>
          <w:rFonts w:cs="Times New Roman"/>
          <w:b/>
        </w:rPr>
      </w:pPr>
    </w:p>
    <w:p w14:paraId="29351B2C" w14:textId="77777777" w:rsidR="00A8289A" w:rsidRPr="00BB1380" w:rsidRDefault="00A8289A" w:rsidP="00A8289A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Opłata konferencyjna I – 600 zł  – obejmuje:</w:t>
      </w:r>
    </w:p>
    <w:p w14:paraId="75602D6A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 xml:space="preserve">wystąpienie na konferencji lub udział w sesji </w:t>
      </w:r>
      <w:proofErr w:type="spellStart"/>
      <w:r w:rsidRPr="00BB1380">
        <w:rPr>
          <w:rFonts w:cs="Times New Roman"/>
        </w:rPr>
        <w:t>posterowej</w:t>
      </w:r>
      <w:proofErr w:type="spellEnd"/>
      <w:r w:rsidRPr="00BB1380">
        <w:rPr>
          <w:rFonts w:cs="Times New Roman"/>
        </w:rPr>
        <w:t>,</w:t>
      </w:r>
    </w:p>
    <w:p w14:paraId="05BB31D3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publikację artykułu w języku angielskim (płatna dodatkowo),</w:t>
      </w:r>
    </w:p>
    <w:p w14:paraId="797317EF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materiały konferencyjne,</w:t>
      </w:r>
    </w:p>
    <w:p w14:paraId="4F6A1313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przerwy kawowe oraz obiad.</w:t>
      </w:r>
    </w:p>
    <w:p w14:paraId="336AA56E" w14:textId="77777777" w:rsidR="00A8289A" w:rsidRPr="00BB1380" w:rsidRDefault="00A8289A" w:rsidP="00A8289A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>Opłata konferencyjna II – 350 zł – obejmuje:</w:t>
      </w:r>
    </w:p>
    <w:p w14:paraId="1D594B86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 xml:space="preserve">wystąpienie na konferencji lub udział w sesji </w:t>
      </w:r>
      <w:proofErr w:type="spellStart"/>
      <w:r w:rsidRPr="00BB1380">
        <w:rPr>
          <w:rFonts w:cs="Times New Roman"/>
        </w:rPr>
        <w:t>posterowej</w:t>
      </w:r>
      <w:proofErr w:type="spellEnd"/>
      <w:r w:rsidRPr="00BB1380">
        <w:rPr>
          <w:rFonts w:cs="Times New Roman"/>
        </w:rPr>
        <w:t>,</w:t>
      </w:r>
    </w:p>
    <w:p w14:paraId="05B31000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materiały konferencyjne,</w:t>
      </w:r>
    </w:p>
    <w:p w14:paraId="41798BF1" w14:textId="77777777" w:rsidR="00A8289A" w:rsidRPr="00BB1380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</w:rPr>
      </w:pPr>
      <w:r w:rsidRPr="00BB1380">
        <w:rPr>
          <w:rFonts w:cs="Times New Roman"/>
        </w:rPr>
        <w:t>przerwy kawowe oraz obiad.</w:t>
      </w:r>
    </w:p>
    <w:p w14:paraId="6EFA8260" w14:textId="77777777" w:rsidR="0042723C" w:rsidRPr="00BB1380" w:rsidRDefault="000507B2" w:rsidP="0042723C">
      <w:pPr>
        <w:spacing w:after="120" w:line="240" w:lineRule="auto"/>
        <w:jc w:val="both"/>
        <w:rPr>
          <w:rFonts w:cs="Times New Roman"/>
          <w:b/>
          <w:color w:val="2E3A8D"/>
        </w:rPr>
      </w:pPr>
      <w:r w:rsidRPr="00BB1380">
        <w:rPr>
          <w:rFonts w:cs="Times New Roman"/>
          <w:b/>
          <w:color w:val="2E3A8D"/>
        </w:rPr>
        <w:t xml:space="preserve">Udział bierny po rejestracji </w:t>
      </w:r>
      <w:r w:rsidR="00420E69" w:rsidRPr="00BB1380">
        <w:rPr>
          <w:rFonts w:cs="Times New Roman"/>
          <w:b/>
          <w:color w:val="2E3A8D"/>
        </w:rPr>
        <w:t>–</w:t>
      </w:r>
      <w:r w:rsidRPr="00BB1380">
        <w:rPr>
          <w:rFonts w:cs="Times New Roman"/>
          <w:b/>
          <w:color w:val="2E3A8D"/>
        </w:rPr>
        <w:t xml:space="preserve"> </w:t>
      </w:r>
      <w:r w:rsidR="00420E69" w:rsidRPr="00BB1380">
        <w:rPr>
          <w:rFonts w:cs="Times New Roman"/>
          <w:b/>
          <w:color w:val="2E3A8D"/>
        </w:rPr>
        <w:t>0 zł -</w:t>
      </w:r>
      <w:r w:rsidR="0042723C" w:rsidRPr="00BB1380">
        <w:rPr>
          <w:rFonts w:cs="Times New Roman"/>
          <w:b/>
          <w:color w:val="2E3A8D"/>
        </w:rPr>
        <w:t xml:space="preserve"> obejmuje:</w:t>
      </w:r>
    </w:p>
    <w:p w14:paraId="1B68974F" w14:textId="77777777" w:rsidR="0042723C" w:rsidRPr="00BB1380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</w:rPr>
      </w:pPr>
      <w:r w:rsidRPr="00BB1380">
        <w:rPr>
          <w:rFonts w:cs="Times New Roman"/>
        </w:rPr>
        <w:t>udział bierny w konferencji</w:t>
      </w:r>
    </w:p>
    <w:p w14:paraId="1681840C" w14:textId="77777777" w:rsidR="0042723C" w:rsidRPr="00BB1380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</w:rPr>
      </w:pPr>
      <w:r w:rsidRPr="00BB1380">
        <w:rPr>
          <w:rFonts w:cs="Times New Roman"/>
        </w:rPr>
        <w:t>materiały konferencyjne</w:t>
      </w:r>
    </w:p>
    <w:p w14:paraId="01B38BBE" w14:textId="77777777" w:rsidR="00A8289A" w:rsidRPr="00BB1380" w:rsidRDefault="0042723C" w:rsidP="000507B2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</w:rPr>
      </w:pPr>
      <w:r w:rsidRPr="00BB1380">
        <w:rPr>
          <w:rFonts w:cs="Times New Roman"/>
        </w:rPr>
        <w:t>pr</w:t>
      </w:r>
      <w:r w:rsidR="000E25F8" w:rsidRPr="00BB1380">
        <w:rPr>
          <w:rFonts w:cs="Times New Roman"/>
        </w:rPr>
        <w:t xml:space="preserve">zerwy kawowe </w:t>
      </w:r>
    </w:p>
    <w:p w14:paraId="6004A128" w14:textId="77777777" w:rsidR="00A8289A" w:rsidRPr="00BB1380" w:rsidRDefault="00A8289A" w:rsidP="00A8289A">
      <w:pPr>
        <w:spacing w:after="120" w:line="240" w:lineRule="auto"/>
        <w:jc w:val="both"/>
        <w:rPr>
          <w:rFonts w:cs="Times New Roman"/>
          <w:i/>
          <w:sz w:val="18"/>
        </w:rPr>
      </w:pPr>
      <w:r w:rsidRPr="00BB1380">
        <w:rPr>
          <w:rFonts w:cs="Times New Roman"/>
          <w:i/>
          <w:sz w:val="18"/>
        </w:rPr>
        <w:t>Opłaty zawierają podatek VAT (23%).</w:t>
      </w:r>
    </w:p>
    <w:p w14:paraId="2CA77106" w14:textId="77777777" w:rsidR="00A8289A" w:rsidRPr="00BB1380" w:rsidRDefault="00A8289A" w:rsidP="00FD0982">
      <w:pPr>
        <w:spacing w:after="120" w:line="240" w:lineRule="auto"/>
        <w:jc w:val="both"/>
        <w:rPr>
          <w:rFonts w:cs="Times New Roman"/>
          <w:b/>
          <w:color w:val="002E8A"/>
        </w:rPr>
        <w:sectPr w:rsidR="00A8289A" w:rsidRPr="00BB1380" w:rsidSect="00E324AE">
          <w:headerReference w:type="default" r:id="rId11"/>
          <w:footerReference w:type="default" r:id="rId1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EA7B677" w14:textId="77777777" w:rsidR="000507B2" w:rsidRPr="00BB1380" w:rsidRDefault="000507B2" w:rsidP="007254D0">
      <w:pPr>
        <w:spacing w:after="0" w:line="360" w:lineRule="auto"/>
        <w:jc w:val="both"/>
        <w:rPr>
          <w:rFonts w:cs="Times New Roman"/>
        </w:rPr>
      </w:pPr>
    </w:p>
    <w:p w14:paraId="730FD16A" w14:textId="77777777" w:rsidR="000507B2" w:rsidRPr="00BB1380" w:rsidRDefault="000507B2" w:rsidP="000507B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Times New Roman"/>
          <w:b/>
          <w:color w:val="008A35"/>
        </w:rPr>
      </w:pPr>
      <w:r w:rsidRPr="00BB1380">
        <w:rPr>
          <w:rFonts w:cs="Times New Roman"/>
          <w:b/>
          <w:color w:val="008A35"/>
        </w:rPr>
        <w:t>Sekretarz konferencji – dane kontaktowe</w:t>
      </w:r>
    </w:p>
    <w:p w14:paraId="40E1B5B6" w14:textId="77777777" w:rsidR="000507B2" w:rsidRPr="00BB1380" w:rsidRDefault="000507B2" w:rsidP="000507B2">
      <w:pPr>
        <w:pStyle w:val="Akapitzlist"/>
        <w:spacing w:after="0" w:line="360" w:lineRule="auto"/>
        <w:ind w:left="284" w:hanging="284"/>
        <w:jc w:val="both"/>
        <w:rPr>
          <w:rFonts w:cs="Times New Roman"/>
        </w:rPr>
      </w:pPr>
      <w:r w:rsidRPr="00BB1380">
        <w:rPr>
          <w:rFonts w:cs="Times New Roman"/>
        </w:rPr>
        <w:t xml:space="preserve">mgr </w:t>
      </w:r>
      <w:r w:rsidR="00420E69" w:rsidRPr="00BB1380">
        <w:rPr>
          <w:rFonts w:cs="Times New Roman"/>
        </w:rPr>
        <w:t xml:space="preserve">Katarzyna Drużdż </w:t>
      </w:r>
      <w:r w:rsidRPr="00BB1380">
        <w:rPr>
          <w:rFonts w:cs="Times New Roman"/>
        </w:rPr>
        <w:t xml:space="preserve"> </w:t>
      </w:r>
    </w:p>
    <w:p w14:paraId="2E04D7AB" w14:textId="77777777" w:rsidR="000507B2" w:rsidRPr="00BB1380" w:rsidRDefault="000507B2" w:rsidP="000507B2">
      <w:pPr>
        <w:pStyle w:val="Akapitzlist"/>
        <w:spacing w:after="0" w:line="360" w:lineRule="auto"/>
        <w:ind w:left="284" w:hanging="284"/>
        <w:jc w:val="both"/>
        <w:rPr>
          <w:rStyle w:val="Hipercze"/>
          <w:rFonts w:cs="Times New Roman"/>
          <w:color w:val="auto"/>
          <w:u w:val="none"/>
          <w:lang w:val="en-US"/>
        </w:rPr>
      </w:pPr>
      <w:r w:rsidRPr="00BB1380">
        <w:rPr>
          <w:rFonts w:cs="Times New Roman"/>
          <w:lang w:val="en-US"/>
        </w:rPr>
        <w:t xml:space="preserve">E-mail: </w:t>
      </w:r>
      <w:r w:rsidR="00420E69" w:rsidRPr="00BB1380">
        <w:rPr>
          <w:rFonts w:cs="Times New Roman"/>
          <w:lang w:val="en-US"/>
        </w:rPr>
        <w:t>k.druzdz@ibwch.lodz.pl</w:t>
      </w:r>
      <w:r w:rsidRPr="00BB1380">
        <w:rPr>
          <w:rStyle w:val="Hipercze"/>
          <w:rFonts w:cs="Times New Roman"/>
          <w:lang w:val="en-US"/>
        </w:rPr>
        <w:t xml:space="preserve"> </w:t>
      </w:r>
    </w:p>
    <w:p w14:paraId="0AD278B7" w14:textId="77777777" w:rsidR="00E324AE" w:rsidRPr="00BB1380" w:rsidRDefault="000507B2" w:rsidP="000507B2">
      <w:pPr>
        <w:spacing w:after="0" w:line="360" w:lineRule="auto"/>
        <w:ind w:left="284" w:hanging="284"/>
        <w:jc w:val="both"/>
        <w:rPr>
          <w:rFonts w:cs="Times New Roman"/>
        </w:rPr>
      </w:pPr>
      <w:r w:rsidRPr="00BB1380">
        <w:rPr>
          <w:rStyle w:val="Hipercze"/>
          <w:rFonts w:cs="Times New Roman"/>
          <w:color w:val="auto"/>
          <w:u w:val="none"/>
        </w:rPr>
        <w:t>Telefon: (</w:t>
      </w:r>
      <w:r w:rsidRPr="00BB1380">
        <w:rPr>
          <w:rFonts w:cs="Times New Roman"/>
        </w:rPr>
        <w:t>42)</w:t>
      </w:r>
      <w:r w:rsidRPr="00BB1380">
        <w:rPr>
          <w:rFonts w:cs="Calibri"/>
        </w:rPr>
        <w:t> </w:t>
      </w:r>
      <w:r w:rsidRPr="00BB1380">
        <w:rPr>
          <w:rFonts w:cs="Times New Roman"/>
        </w:rPr>
        <w:t>638 03 21</w:t>
      </w:r>
    </w:p>
    <w:sectPr w:rsidR="00E324AE" w:rsidRPr="00BB1380" w:rsidSect="00C819D3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D5CC" w14:textId="77777777" w:rsidR="006F4FA3" w:rsidRDefault="006F4FA3" w:rsidP="0038558B">
      <w:pPr>
        <w:spacing w:after="0" w:line="240" w:lineRule="auto"/>
      </w:pPr>
      <w:r>
        <w:separator/>
      </w:r>
    </w:p>
  </w:endnote>
  <w:endnote w:type="continuationSeparator" w:id="0">
    <w:p w14:paraId="22E08FE0" w14:textId="77777777" w:rsidR="006F4FA3" w:rsidRDefault="006F4FA3" w:rsidP="0038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179E" w14:textId="77777777" w:rsidR="00A8289A" w:rsidRPr="004C1DAA" w:rsidRDefault="004563E4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>
      <w:rPr>
        <w:rFonts w:ascii="Exo 2.0" w:hAnsi="Exo 2.0" w:cs="Times New Roman"/>
        <w:sz w:val="20"/>
        <w:szCs w:val="20"/>
      </w:rPr>
      <w:t xml:space="preserve">Sieć Badawcza Łukasiewicz - </w:t>
    </w:r>
    <w:r w:rsidR="00A8289A" w:rsidRPr="004C1DAA">
      <w:rPr>
        <w:rFonts w:ascii="Exo 2.0" w:hAnsi="Exo 2.0" w:cs="Times New Roman"/>
        <w:sz w:val="20"/>
        <w:szCs w:val="20"/>
      </w:rPr>
      <w:t>Instytut Biopolimerów i Włókien Chemicznych</w:t>
    </w:r>
    <w:r>
      <w:rPr>
        <w:rFonts w:ascii="Exo 2.0" w:hAnsi="Exo 2.0" w:cs="Times New Roman"/>
        <w:sz w:val="20"/>
        <w:szCs w:val="20"/>
      </w:rPr>
      <w:br/>
    </w:r>
    <w:r w:rsidR="00A8289A" w:rsidRPr="004C1DAA">
      <w:rPr>
        <w:rFonts w:ascii="Exo 2.0" w:hAnsi="Exo 2.0" w:cs="Times New Roman"/>
        <w:sz w:val="20"/>
        <w:szCs w:val="20"/>
      </w:rPr>
      <w:t>ul. Marii Skłodowskiej–Curie 19/27, 90-570 Łódź</w:t>
    </w:r>
  </w:p>
  <w:p w14:paraId="6463D31A" w14:textId="77777777" w:rsidR="00A8289A" w:rsidRPr="004C1DAA" w:rsidRDefault="00A8289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Calibri" w:hAnsi="Calibri" w:cs="Calibri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6860" w14:textId="77777777" w:rsidR="00497ACA" w:rsidRPr="004C1DAA" w:rsidRDefault="00497AC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14:paraId="28B71101" w14:textId="77777777" w:rsidR="00497ACA" w:rsidRPr="004C1DAA" w:rsidRDefault="00497AC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Times New Roman" w:hAnsi="Times New Roman" w:cs="Times New Roman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2580" w14:textId="77777777" w:rsidR="006F4FA3" w:rsidRDefault="006F4FA3" w:rsidP="0038558B">
      <w:pPr>
        <w:spacing w:after="0" w:line="240" w:lineRule="auto"/>
      </w:pPr>
      <w:r>
        <w:separator/>
      </w:r>
    </w:p>
  </w:footnote>
  <w:footnote w:type="continuationSeparator" w:id="0">
    <w:p w14:paraId="7C0E82C1" w14:textId="77777777" w:rsidR="006F4FA3" w:rsidRDefault="006F4FA3" w:rsidP="0038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51F1" w14:textId="77777777" w:rsidR="00A8289A" w:rsidRDefault="00A8289A">
    <w:pPr>
      <w:pStyle w:val="Nagwek"/>
    </w:pPr>
  </w:p>
  <w:p w14:paraId="224635A3" w14:textId="77777777" w:rsidR="00A8289A" w:rsidRDefault="00A82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A9DA" w14:textId="77777777" w:rsidR="0038558B" w:rsidRDefault="0038558B">
    <w:pPr>
      <w:pStyle w:val="Nagwek"/>
    </w:pPr>
  </w:p>
  <w:p w14:paraId="0EF005D6" w14:textId="77777777" w:rsidR="0038558B" w:rsidRDefault="00385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035"/>
    <w:multiLevelType w:val="hybridMultilevel"/>
    <w:tmpl w:val="EA7C2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52F1F"/>
    <w:multiLevelType w:val="hybridMultilevel"/>
    <w:tmpl w:val="DA52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817"/>
    <w:multiLevelType w:val="hybridMultilevel"/>
    <w:tmpl w:val="1D38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50DA"/>
    <w:multiLevelType w:val="hybridMultilevel"/>
    <w:tmpl w:val="60D093D6"/>
    <w:lvl w:ilvl="0" w:tplc="0415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F507920"/>
    <w:multiLevelType w:val="multilevel"/>
    <w:tmpl w:val="3D9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651F6"/>
    <w:multiLevelType w:val="hybridMultilevel"/>
    <w:tmpl w:val="0FDE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C47"/>
    <w:multiLevelType w:val="multilevel"/>
    <w:tmpl w:val="1BA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5506"/>
    <w:multiLevelType w:val="hybridMultilevel"/>
    <w:tmpl w:val="282A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3D7"/>
    <w:multiLevelType w:val="multilevel"/>
    <w:tmpl w:val="A84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F738C"/>
    <w:multiLevelType w:val="hybridMultilevel"/>
    <w:tmpl w:val="49024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004A"/>
    <w:multiLevelType w:val="hybridMultilevel"/>
    <w:tmpl w:val="A198C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AE8"/>
    <w:multiLevelType w:val="multilevel"/>
    <w:tmpl w:val="E9A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82135B"/>
    <w:multiLevelType w:val="hybridMultilevel"/>
    <w:tmpl w:val="7178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A7BDD"/>
    <w:multiLevelType w:val="multilevel"/>
    <w:tmpl w:val="636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E4689"/>
    <w:multiLevelType w:val="hybridMultilevel"/>
    <w:tmpl w:val="6836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E04"/>
    <w:multiLevelType w:val="multilevel"/>
    <w:tmpl w:val="0CB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92910"/>
    <w:multiLevelType w:val="hybridMultilevel"/>
    <w:tmpl w:val="03A2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48BB"/>
    <w:multiLevelType w:val="hybridMultilevel"/>
    <w:tmpl w:val="BF801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CA2D53"/>
    <w:multiLevelType w:val="hybridMultilevel"/>
    <w:tmpl w:val="A4AABF66"/>
    <w:lvl w:ilvl="0" w:tplc="3536C0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AF3BAA"/>
    <w:multiLevelType w:val="multilevel"/>
    <w:tmpl w:val="4A7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FF0B77"/>
    <w:multiLevelType w:val="hybridMultilevel"/>
    <w:tmpl w:val="2C96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74694"/>
    <w:multiLevelType w:val="hybridMultilevel"/>
    <w:tmpl w:val="2D7441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6B92303"/>
    <w:multiLevelType w:val="hybridMultilevel"/>
    <w:tmpl w:val="93328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76BC"/>
    <w:multiLevelType w:val="hybridMultilevel"/>
    <w:tmpl w:val="BD5A9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0C09"/>
    <w:multiLevelType w:val="hybridMultilevel"/>
    <w:tmpl w:val="B8180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D3581A"/>
    <w:multiLevelType w:val="multilevel"/>
    <w:tmpl w:val="706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E63C1"/>
    <w:multiLevelType w:val="multilevel"/>
    <w:tmpl w:val="72A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33D44"/>
    <w:multiLevelType w:val="hybridMultilevel"/>
    <w:tmpl w:val="10DC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D7FA1"/>
    <w:multiLevelType w:val="hybridMultilevel"/>
    <w:tmpl w:val="184C9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B777B"/>
    <w:multiLevelType w:val="multilevel"/>
    <w:tmpl w:val="142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5"/>
  </w:num>
  <w:num w:numId="5">
    <w:abstractNumId w:val="8"/>
  </w:num>
  <w:num w:numId="6">
    <w:abstractNumId w:val="26"/>
  </w:num>
  <w:num w:numId="7">
    <w:abstractNumId w:val="4"/>
  </w:num>
  <w:num w:numId="8">
    <w:abstractNumId w:val="25"/>
  </w:num>
  <w:num w:numId="9">
    <w:abstractNumId w:val="29"/>
  </w:num>
  <w:num w:numId="10">
    <w:abstractNumId w:val="15"/>
  </w:num>
  <w:num w:numId="11">
    <w:abstractNumId w:val="13"/>
  </w:num>
  <w:num w:numId="12">
    <w:abstractNumId w:val="19"/>
  </w:num>
  <w:num w:numId="13">
    <w:abstractNumId w:val="11"/>
  </w:num>
  <w:num w:numId="14">
    <w:abstractNumId w:val="12"/>
  </w:num>
  <w:num w:numId="15">
    <w:abstractNumId w:val="24"/>
  </w:num>
  <w:num w:numId="16">
    <w:abstractNumId w:val="17"/>
  </w:num>
  <w:num w:numId="17">
    <w:abstractNumId w:val="0"/>
  </w:num>
  <w:num w:numId="18">
    <w:abstractNumId w:val="21"/>
  </w:num>
  <w:num w:numId="19">
    <w:abstractNumId w:val="20"/>
  </w:num>
  <w:num w:numId="20">
    <w:abstractNumId w:val="14"/>
  </w:num>
  <w:num w:numId="21">
    <w:abstractNumId w:val="2"/>
  </w:num>
  <w:num w:numId="22">
    <w:abstractNumId w:val="1"/>
  </w:num>
  <w:num w:numId="23">
    <w:abstractNumId w:val="16"/>
  </w:num>
  <w:num w:numId="24">
    <w:abstractNumId w:val="3"/>
  </w:num>
  <w:num w:numId="25">
    <w:abstractNumId w:val="28"/>
  </w:num>
  <w:num w:numId="26">
    <w:abstractNumId w:val="10"/>
  </w:num>
  <w:num w:numId="27">
    <w:abstractNumId w:val="7"/>
  </w:num>
  <w:num w:numId="28">
    <w:abstractNumId w:val="18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dbdb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F"/>
    <w:rsid w:val="000061BD"/>
    <w:rsid w:val="0000621B"/>
    <w:rsid w:val="000139AD"/>
    <w:rsid w:val="0002242F"/>
    <w:rsid w:val="00030763"/>
    <w:rsid w:val="000351C2"/>
    <w:rsid w:val="000507B2"/>
    <w:rsid w:val="000644E0"/>
    <w:rsid w:val="000645D1"/>
    <w:rsid w:val="000669DD"/>
    <w:rsid w:val="00084326"/>
    <w:rsid w:val="0009414A"/>
    <w:rsid w:val="000A245F"/>
    <w:rsid w:val="000A502E"/>
    <w:rsid w:val="000A581C"/>
    <w:rsid w:val="000B3E9E"/>
    <w:rsid w:val="000D2524"/>
    <w:rsid w:val="000D2611"/>
    <w:rsid w:val="000E08D6"/>
    <w:rsid w:val="000E1857"/>
    <w:rsid w:val="000E25F8"/>
    <w:rsid w:val="000E5AA7"/>
    <w:rsid w:val="000F0D72"/>
    <w:rsid w:val="000F62C6"/>
    <w:rsid w:val="001033A2"/>
    <w:rsid w:val="001151CB"/>
    <w:rsid w:val="00135ED3"/>
    <w:rsid w:val="0014161E"/>
    <w:rsid w:val="001421AF"/>
    <w:rsid w:val="00143F48"/>
    <w:rsid w:val="0016038B"/>
    <w:rsid w:val="00180642"/>
    <w:rsid w:val="001A2FA1"/>
    <w:rsid w:val="001B567B"/>
    <w:rsid w:val="001C6B5E"/>
    <w:rsid w:val="001C765A"/>
    <w:rsid w:val="001C7AF3"/>
    <w:rsid w:val="001D69B9"/>
    <w:rsid w:val="001D6F45"/>
    <w:rsid w:val="001E6449"/>
    <w:rsid w:val="00246A0D"/>
    <w:rsid w:val="0025170F"/>
    <w:rsid w:val="00255204"/>
    <w:rsid w:val="002731D6"/>
    <w:rsid w:val="0027325C"/>
    <w:rsid w:val="0027331D"/>
    <w:rsid w:val="00292A43"/>
    <w:rsid w:val="002A22AD"/>
    <w:rsid w:val="002A3319"/>
    <w:rsid w:val="002A6AC5"/>
    <w:rsid w:val="002B6B9F"/>
    <w:rsid w:val="002C10E0"/>
    <w:rsid w:val="002C70F8"/>
    <w:rsid w:val="002D137E"/>
    <w:rsid w:val="002F2892"/>
    <w:rsid w:val="002F3E67"/>
    <w:rsid w:val="002F7ADC"/>
    <w:rsid w:val="00304244"/>
    <w:rsid w:val="003109D0"/>
    <w:rsid w:val="0033320B"/>
    <w:rsid w:val="00356757"/>
    <w:rsid w:val="0036005C"/>
    <w:rsid w:val="0036162A"/>
    <w:rsid w:val="00372F8F"/>
    <w:rsid w:val="0037400A"/>
    <w:rsid w:val="00380382"/>
    <w:rsid w:val="0038558B"/>
    <w:rsid w:val="0039084F"/>
    <w:rsid w:val="00391AE5"/>
    <w:rsid w:val="00392A13"/>
    <w:rsid w:val="003A1DF1"/>
    <w:rsid w:val="003A712A"/>
    <w:rsid w:val="003B1379"/>
    <w:rsid w:val="003B18A2"/>
    <w:rsid w:val="003B6CC6"/>
    <w:rsid w:val="003C22E9"/>
    <w:rsid w:val="003C5E78"/>
    <w:rsid w:val="003C6379"/>
    <w:rsid w:val="003D21A0"/>
    <w:rsid w:val="003F1167"/>
    <w:rsid w:val="003F604B"/>
    <w:rsid w:val="00413D44"/>
    <w:rsid w:val="00420E69"/>
    <w:rsid w:val="00422227"/>
    <w:rsid w:val="0042723C"/>
    <w:rsid w:val="00432F18"/>
    <w:rsid w:val="00434CD3"/>
    <w:rsid w:val="004532B6"/>
    <w:rsid w:val="00454AAD"/>
    <w:rsid w:val="004563E4"/>
    <w:rsid w:val="0045741B"/>
    <w:rsid w:val="00460F50"/>
    <w:rsid w:val="004664DE"/>
    <w:rsid w:val="00476015"/>
    <w:rsid w:val="00497ACA"/>
    <w:rsid w:val="004B64C2"/>
    <w:rsid w:val="004C0416"/>
    <w:rsid w:val="004C0B2B"/>
    <w:rsid w:val="004C1504"/>
    <w:rsid w:val="004C163C"/>
    <w:rsid w:val="004C1DAA"/>
    <w:rsid w:val="004D42DA"/>
    <w:rsid w:val="004E68EA"/>
    <w:rsid w:val="00516555"/>
    <w:rsid w:val="00521E85"/>
    <w:rsid w:val="00526E4F"/>
    <w:rsid w:val="005305AE"/>
    <w:rsid w:val="00535F95"/>
    <w:rsid w:val="0054535B"/>
    <w:rsid w:val="00550DDB"/>
    <w:rsid w:val="00554815"/>
    <w:rsid w:val="00564D2C"/>
    <w:rsid w:val="00566517"/>
    <w:rsid w:val="005723D9"/>
    <w:rsid w:val="0057673C"/>
    <w:rsid w:val="0057756A"/>
    <w:rsid w:val="00583B4C"/>
    <w:rsid w:val="005874A5"/>
    <w:rsid w:val="005A018D"/>
    <w:rsid w:val="005C730B"/>
    <w:rsid w:val="005F2F53"/>
    <w:rsid w:val="00615C97"/>
    <w:rsid w:val="00620147"/>
    <w:rsid w:val="0062541E"/>
    <w:rsid w:val="006259FD"/>
    <w:rsid w:val="00647D84"/>
    <w:rsid w:val="0065768A"/>
    <w:rsid w:val="0067191A"/>
    <w:rsid w:val="00680BFC"/>
    <w:rsid w:val="006831B1"/>
    <w:rsid w:val="00683F14"/>
    <w:rsid w:val="0068480E"/>
    <w:rsid w:val="0068565F"/>
    <w:rsid w:val="00692C93"/>
    <w:rsid w:val="006A70BB"/>
    <w:rsid w:val="006B0EC0"/>
    <w:rsid w:val="006E3873"/>
    <w:rsid w:val="006E4F14"/>
    <w:rsid w:val="006E5ABF"/>
    <w:rsid w:val="006F4BF1"/>
    <w:rsid w:val="006F4FA3"/>
    <w:rsid w:val="006F5AE9"/>
    <w:rsid w:val="006F6583"/>
    <w:rsid w:val="00702015"/>
    <w:rsid w:val="0070586C"/>
    <w:rsid w:val="007239A0"/>
    <w:rsid w:val="007254D0"/>
    <w:rsid w:val="00732E4B"/>
    <w:rsid w:val="00734571"/>
    <w:rsid w:val="00762F13"/>
    <w:rsid w:val="007A03EE"/>
    <w:rsid w:val="007A0CE4"/>
    <w:rsid w:val="007C0059"/>
    <w:rsid w:val="007C0122"/>
    <w:rsid w:val="007D4B7A"/>
    <w:rsid w:val="007E62C6"/>
    <w:rsid w:val="007F7DAE"/>
    <w:rsid w:val="00815ACA"/>
    <w:rsid w:val="008341E7"/>
    <w:rsid w:val="00850FCF"/>
    <w:rsid w:val="008533C2"/>
    <w:rsid w:val="00863A15"/>
    <w:rsid w:val="00872882"/>
    <w:rsid w:val="0087717E"/>
    <w:rsid w:val="00882E8B"/>
    <w:rsid w:val="008859B3"/>
    <w:rsid w:val="00891383"/>
    <w:rsid w:val="00895028"/>
    <w:rsid w:val="008C3463"/>
    <w:rsid w:val="008C5189"/>
    <w:rsid w:val="008D1E0E"/>
    <w:rsid w:val="008D364F"/>
    <w:rsid w:val="008E17EF"/>
    <w:rsid w:val="008E619F"/>
    <w:rsid w:val="008F6372"/>
    <w:rsid w:val="00915412"/>
    <w:rsid w:val="00944708"/>
    <w:rsid w:val="00947938"/>
    <w:rsid w:val="00951440"/>
    <w:rsid w:val="00953D1B"/>
    <w:rsid w:val="0096560F"/>
    <w:rsid w:val="00965FBF"/>
    <w:rsid w:val="00980696"/>
    <w:rsid w:val="009A7EE5"/>
    <w:rsid w:val="009B0A09"/>
    <w:rsid w:val="009C5F42"/>
    <w:rsid w:val="009E1D44"/>
    <w:rsid w:val="009F2141"/>
    <w:rsid w:val="009F3D3C"/>
    <w:rsid w:val="00A0712C"/>
    <w:rsid w:val="00A16334"/>
    <w:rsid w:val="00A2600A"/>
    <w:rsid w:val="00A26204"/>
    <w:rsid w:val="00A3686C"/>
    <w:rsid w:val="00A41FB0"/>
    <w:rsid w:val="00A5422C"/>
    <w:rsid w:val="00A57C5E"/>
    <w:rsid w:val="00A64C34"/>
    <w:rsid w:val="00A8032D"/>
    <w:rsid w:val="00A8289A"/>
    <w:rsid w:val="00A82E92"/>
    <w:rsid w:val="00A851FF"/>
    <w:rsid w:val="00A86B3C"/>
    <w:rsid w:val="00A87525"/>
    <w:rsid w:val="00A91680"/>
    <w:rsid w:val="00A94941"/>
    <w:rsid w:val="00AA09D8"/>
    <w:rsid w:val="00AA15D6"/>
    <w:rsid w:val="00AA51EE"/>
    <w:rsid w:val="00AA7E24"/>
    <w:rsid w:val="00AC230A"/>
    <w:rsid w:val="00AD10B7"/>
    <w:rsid w:val="00AD721B"/>
    <w:rsid w:val="00AE5EE9"/>
    <w:rsid w:val="00AF0053"/>
    <w:rsid w:val="00B13C10"/>
    <w:rsid w:val="00B15742"/>
    <w:rsid w:val="00B20496"/>
    <w:rsid w:val="00B22A5B"/>
    <w:rsid w:val="00B307F7"/>
    <w:rsid w:val="00B474CF"/>
    <w:rsid w:val="00B52CD7"/>
    <w:rsid w:val="00B60EEF"/>
    <w:rsid w:val="00B66A6A"/>
    <w:rsid w:val="00B87A5B"/>
    <w:rsid w:val="00B90D0D"/>
    <w:rsid w:val="00BA4097"/>
    <w:rsid w:val="00BB1380"/>
    <w:rsid w:val="00BB4BB9"/>
    <w:rsid w:val="00BD094C"/>
    <w:rsid w:val="00BD57B4"/>
    <w:rsid w:val="00BF20BA"/>
    <w:rsid w:val="00BF6DF2"/>
    <w:rsid w:val="00BF7919"/>
    <w:rsid w:val="00C04CD7"/>
    <w:rsid w:val="00C10ABC"/>
    <w:rsid w:val="00C15EE6"/>
    <w:rsid w:val="00C21474"/>
    <w:rsid w:val="00C32656"/>
    <w:rsid w:val="00C45B92"/>
    <w:rsid w:val="00C4641F"/>
    <w:rsid w:val="00C51850"/>
    <w:rsid w:val="00C51F9A"/>
    <w:rsid w:val="00C6226C"/>
    <w:rsid w:val="00C70C5A"/>
    <w:rsid w:val="00C73906"/>
    <w:rsid w:val="00C80D2C"/>
    <w:rsid w:val="00C819D3"/>
    <w:rsid w:val="00C84277"/>
    <w:rsid w:val="00C854CA"/>
    <w:rsid w:val="00C87181"/>
    <w:rsid w:val="00C91F2B"/>
    <w:rsid w:val="00CA683C"/>
    <w:rsid w:val="00CA74C9"/>
    <w:rsid w:val="00CB04B5"/>
    <w:rsid w:val="00CB5F85"/>
    <w:rsid w:val="00CB7084"/>
    <w:rsid w:val="00CD373B"/>
    <w:rsid w:val="00CD7E24"/>
    <w:rsid w:val="00CF41D7"/>
    <w:rsid w:val="00CF42AB"/>
    <w:rsid w:val="00D35C59"/>
    <w:rsid w:val="00D42F7D"/>
    <w:rsid w:val="00D446F0"/>
    <w:rsid w:val="00D44E8D"/>
    <w:rsid w:val="00D804F1"/>
    <w:rsid w:val="00D820F9"/>
    <w:rsid w:val="00D86A8D"/>
    <w:rsid w:val="00DA1934"/>
    <w:rsid w:val="00DC0E88"/>
    <w:rsid w:val="00DC72E7"/>
    <w:rsid w:val="00DE1509"/>
    <w:rsid w:val="00E051B9"/>
    <w:rsid w:val="00E06F2F"/>
    <w:rsid w:val="00E21B81"/>
    <w:rsid w:val="00E27BEA"/>
    <w:rsid w:val="00E315C3"/>
    <w:rsid w:val="00E324AE"/>
    <w:rsid w:val="00E422F5"/>
    <w:rsid w:val="00E50255"/>
    <w:rsid w:val="00E51104"/>
    <w:rsid w:val="00E95A7D"/>
    <w:rsid w:val="00EA1B7A"/>
    <w:rsid w:val="00EA260A"/>
    <w:rsid w:val="00EB4E1E"/>
    <w:rsid w:val="00EF2797"/>
    <w:rsid w:val="00F03BF2"/>
    <w:rsid w:val="00F14596"/>
    <w:rsid w:val="00F16458"/>
    <w:rsid w:val="00F25B03"/>
    <w:rsid w:val="00F27B4A"/>
    <w:rsid w:val="00F34638"/>
    <w:rsid w:val="00F409AD"/>
    <w:rsid w:val="00F47FC6"/>
    <w:rsid w:val="00F6602D"/>
    <w:rsid w:val="00F66CC8"/>
    <w:rsid w:val="00F90058"/>
    <w:rsid w:val="00F93F62"/>
    <w:rsid w:val="00FB1131"/>
    <w:rsid w:val="00FB3E76"/>
    <w:rsid w:val="00FB7961"/>
    <w:rsid w:val="00FC12CF"/>
    <w:rsid w:val="00FC1561"/>
    <w:rsid w:val="00FC5F52"/>
    <w:rsid w:val="00FD0982"/>
    <w:rsid w:val="00FD1A55"/>
    <w:rsid w:val="00FD7840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bdb"/>
    </o:shapedefaults>
    <o:shapelayout v:ext="edit">
      <o:idmap v:ext="edit" data="1"/>
    </o:shapelayout>
  </w:shapeDefaults>
  <w:decimalSymbol w:val=","/>
  <w:listSeparator w:val=";"/>
  <w14:docId w14:val="5A0EC19D"/>
  <w15:docId w15:val="{C846C085-E0D3-4F90-9312-AF495C2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2D"/>
  </w:style>
  <w:style w:type="paragraph" w:styleId="Nagwek1">
    <w:name w:val="heading 1"/>
    <w:basedOn w:val="Normalny"/>
    <w:next w:val="Normalny"/>
    <w:link w:val="Nagwek1Znak"/>
    <w:uiPriority w:val="9"/>
    <w:qFormat/>
    <w:rsid w:val="00FD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9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B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8B"/>
  </w:style>
  <w:style w:type="paragraph" w:styleId="Stopka">
    <w:name w:val="footer"/>
    <w:basedOn w:val="Normalny"/>
    <w:link w:val="Stopka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8B"/>
  </w:style>
  <w:style w:type="character" w:customStyle="1" w:styleId="Nagwek3Znak">
    <w:name w:val="Nagłówek 3 Znak"/>
    <w:basedOn w:val="Domylnaczcionkaakapitu"/>
    <w:link w:val="Nagwek3"/>
    <w:uiPriority w:val="9"/>
    <w:rsid w:val="00292A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09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rtur%20Hajduk\Desktop\Moje%20Dokumenty\Konferencje\IOPW%202018\www.fibtex.lodz.pl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6CFC-9F18-467A-A05E-2FFD561D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Zarzycka</dc:creator>
  <cp:lastModifiedBy>Kinga</cp:lastModifiedBy>
  <cp:revision>2</cp:revision>
  <cp:lastPrinted>2018-10-25T11:45:00Z</cp:lastPrinted>
  <dcterms:created xsi:type="dcterms:W3CDTF">2019-11-14T07:20:00Z</dcterms:created>
  <dcterms:modified xsi:type="dcterms:W3CDTF">2019-11-14T07:20:00Z</dcterms:modified>
</cp:coreProperties>
</file>